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2104"/>
        <w:gridCol w:w="382"/>
        <w:gridCol w:w="1450"/>
        <w:gridCol w:w="971"/>
        <w:gridCol w:w="1688"/>
        <w:gridCol w:w="1726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1CF572A5" w:rsidR="009E5715" w:rsidRPr="009E5715" w:rsidRDefault="0072230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722306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10EC3E64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722306">
              <w:rPr>
                <w:rFonts w:asciiTheme="majorHAnsi" w:hAnsiTheme="majorHAnsi"/>
              </w:rPr>
              <w:t>7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7885B621" w:rsidR="00211CE9" w:rsidRDefault="0072230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Ocular Motility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40F02083" w:rsidR="009E5715" w:rsidRDefault="004D566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 xml:space="preserve">They are empathic and sensitive to the patient’s concerns. They ensure that the patient is </w:t>
            </w:r>
            <w:proofErr w:type="gramStart"/>
            <w:r w:rsidRPr="000006A2">
              <w:rPr>
                <w:rFonts w:asciiTheme="majorHAnsi" w:hAnsiTheme="majorHAnsi"/>
              </w:rPr>
              <w:t>comfortable</w:t>
            </w:r>
            <w:proofErr w:type="gramEnd"/>
            <w:r w:rsidRPr="000006A2">
              <w:rPr>
                <w:rFonts w:asciiTheme="majorHAnsi" w:hAnsiTheme="majorHAnsi"/>
              </w:rPr>
              <w:t xml:space="preserve">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66FF8B28" w:rsidR="00F463AF" w:rsidRDefault="003B2155" w:rsidP="00F463AF">
            <w:p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  <w:b/>
              </w:rPr>
              <w:lastRenderedPageBreak/>
              <w:t>Cover Test and Eye Movements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2CA9B7BA" w14:textId="77777777" w:rsidR="003B2155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 xml:space="preserve">Comments on corneal reflexes and any abnormal head posture, ptosis, pupils etc. </w:t>
            </w:r>
          </w:p>
          <w:p w14:paraId="66ABC080" w14:textId="3C92C90E" w:rsidR="003B2155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use suitable near and distance fixation targets</w:t>
            </w:r>
          </w:p>
          <w:p w14:paraId="6D7FA336" w14:textId="77777777" w:rsidR="003B2155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 xml:space="preserve">They perform cover-uncover and alternate cover tests purposefully without excessive repetition and identify abnormalities accurately </w:t>
            </w:r>
          </w:p>
          <w:p w14:paraId="4F65AF55" w14:textId="77777777" w:rsidR="003B2155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Their instructions to the patient are clear and unambiguous throughout</w:t>
            </w:r>
          </w:p>
          <w:p w14:paraId="2C72C845" w14:textId="3A0AE7A6" w:rsidR="00F463AF" w:rsidRPr="00F463AF" w:rsidRDefault="003B2155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 examination flows easily and appropriate versions, ductions, vergences and saccade checks are performed in response to findings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38E54AF1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Fails to perform a general inspection of the patient</w:t>
            </w:r>
          </w:p>
          <w:p w14:paraId="3B74643B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Their instructions to the patient are ambiguous and confusing so that the patient is unclear what is expected of them</w:t>
            </w:r>
          </w:p>
          <w:p w14:paraId="75601403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perform the tests clumsily, without an obvious plan and important steps are missed</w:t>
            </w:r>
          </w:p>
          <w:p w14:paraId="755F79CA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miss and/or fail to interpret important clinical signs of the threat response</w:t>
            </w:r>
          </w:p>
          <w:p w14:paraId="53B1D6D6" w14:textId="688BC394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exhibit confusion about the theory and practice of pharmacological tests</w:t>
            </w:r>
          </w:p>
          <w:p w14:paraId="1CB8A176" w14:textId="77777777" w:rsidR="003B2155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forget to view the pupils on the slit lamp</w:t>
            </w:r>
          </w:p>
          <w:p w14:paraId="4A79DCCD" w14:textId="7216F059" w:rsidR="00F463AF" w:rsidRPr="00F463AF" w:rsidRDefault="003B2155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2155">
              <w:rPr>
                <w:rFonts w:asciiTheme="majorHAnsi" w:hAnsiTheme="majorHAnsi"/>
              </w:rPr>
              <w:t>They are unable to interpret the results of the test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7BE2E7E8" w14:textId="77777777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Perform motility testing to detect gross</w:t>
            </w:r>
          </w:p>
          <w:p w14:paraId="68CB0F2F" w14:textId="32C234E9" w:rsidR="004B40DA" w:rsidRPr="004B40DA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abnormalities of eye movements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415676F0" w14:textId="77777777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Understand when a motility assessment is</w:t>
            </w:r>
          </w:p>
          <w:p w14:paraId="6D11A75C" w14:textId="50BDAA2F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needed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4191C885" w14:textId="0946A126" w:rsidR="00722306" w:rsidRPr="004B40DA" w:rsidRDefault="00722306" w:rsidP="004B40DA">
            <w:pPr>
              <w:rPr>
                <w:rFonts w:asciiTheme="majorHAnsi" w:hAnsiTheme="majorHAnsi"/>
                <w:b/>
              </w:rPr>
            </w:pPr>
            <w:r w:rsidRPr="00722306">
              <w:rPr>
                <w:rFonts w:asciiTheme="majorHAnsi" w:hAnsiTheme="majorHAnsi"/>
              </w:rPr>
              <w:t>Perform a cover test and interpret the findings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E5715" w:rsidRPr="004B40DA" w14:paraId="627841BB" w14:textId="77777777" w:rsidTr="00942F6B">
        <w:tc>
          <w:tcPr>
            <w:tcW w:w="2480" w:type="dxa"/>
            <w:tcBorders>
              <w:right w:val="double" w:sz="4" w:space="0" w:color="auto"/>
            </w:tcBorders>
          </w:tcPr>
          <w:p w14:paraId="30C11744" w14:textId="77777777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Perform a motility assessment and interpret</w:t>
            </w:r>
          </w:p>
          <w:p w14:paraId="221AAB7C" w14:textId="7AA66098" w:rsidR="009E5715" w:rsidRPr="00211CE9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the findings to detect a range of abnormalities</w:t>
            </w:r>
          </w:p>
        </w:tc>
        <w:tc>
          <w:tcPr>
            <w:tcW w:w="2539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4C4CE223" w14:textId="77777777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Use the cover test and ocular motility</w:t>
            </w:r>
          </w:p>
          <w:p w14:paraId="3C8C3002" w14:textId="77777777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lastRenderedPageBreak/>
              <w:t>examinations to determine further investigation</w:t>
            </w:r>
          </w:p>
          <w:p w14:paraId="5FCD2B9C" w14:textId="3CD9FFED" w:rsidR="004B40DA" w:rsidRPr="004B40DA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and management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2B82B83E" w14:textId="77777777" w:rsidR="00722306" w:rsidRPr="00722306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Recognise and describe nystagmus, where</w:t>
            </w:r>
          </w:p>
          <w:p w14:paraId="589E02D1" w14:textId="50E2F984" w:rsidR="004B40DA" w:rsidRPr="004B40DA" w:rsidRDefault="00722306" w:rsidP="00722306">
            <w:pPr>
              <w:rPr>
                <w:rFonts w:asciiTheme="majorHAnsi" w:hAnsiTheme="majorHAnsi"/>
              </w:rPr>
            </w:pPr>
            <w:r w:rsidRPr="00722306">
              <w:rPr>
                <w:rFonts w:asciiTheme="majorHAnsi" w:hAnsiTheme="majorHAnsi"/>
              </w:rPr>
              <w:t>present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35E5" w14:textId="77777777" w:rsidR="00BE6704" w:rsidRDefault="00BE6704" w:rsidP="00FE6453">
      <w:r>
        <w:separator/>
      </w:r>
    </w:p>
  </w:endnote>
  <w:endnote w:type="continuationSeparator" w:id="0">
    <w:p w14:paraId="52FC7DAD" w14:textId="77777777" w:rsidR="00BE6704" w:rsidRDefault="00BE6704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5D03A" w14:textId="77777777" w:rsidR="00BE6704" w:rsidRDefault="00BE6704" w:rsidP="00FE6453">
      <w:r>
        <w:separator/>
      </w:r>
    </w:p>
  </w:footnote>
  <w:footnote w:type="continuationSeparator" w:id="0">
    <w:p w14:paraId="2D82D109" w14:textId="77777777" w:rsidR="00BE6704" w:rsidRDefault="00BE6704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551855">
    <w:abstractNumId w:val="3"/>
  </w:num>
  <w:num w:numId="2" w16cid:durableId="1577518900">
    <w:abstractNumId w:val="2"/>
  </w:num>
  <w:num w:numId="3" w16cid:durableId="1343775042">
    <w:abstractNumId w:val="1"/>
  </w:num>
  <w:num w:numId="4" w16cid:durableId="939800220">
    <w:abstractNumId w:val="4"/>
  </w:num>
  <w:num w:numId="5" w16cid:durableId="145012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76164"/>
    <w:rsid w:val="001E3455"/>
    <w:rsid w:val="00211CE9"/>
    <w:rsid w:val="003B2155"/>
    <w:rsid w:val="0044090B"/>
    <w:rsid w:val="004B40DA"/>
    <w:rsid w:val="004D5669"/>
    <w:rsid w:val="00522C7E"/>
    <w:rsid w:val="0058567B"/>
    <w:rsid w:val="005A5B8F"/>
    <w:rsid w:val="005D4506"/>
    <w:rsid w:val="005E5294"/>
    <w:rsid w:val="00722306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E6704"/>
    <w:rsid w:val="00BF0E63"/>
    <w:rsid w:val="00D90DDA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2019-01-20T21:57:00Z</dcterms:created>
  <dcterms:modified xsi:type="dcterms:W3CDTF">2023-11-01T23:19:00Z</dcterms:modified>
</cp:coreProperties>
</file>